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b/>
          <w:sz w:val="28"/>
          <w:szCs w:val="28"/>
          <w:lang w:val="en-US"/>
        </w:rPr>
      </w:pPr>
      <w:r>
        <w:rPr>
          <w:rFonts w:hint="eastAsia"/>
          <w:b/>
          <w:sz w:val="48"/>
          <w:szCs w:val="48"/>
          <w:lang w:val="en-US" w:eastAsia="zh-CN"/>
        </w:rPr>
        <w:t>采购需求</w:t>
      </w:r>
    </w:p>
    <w:p>
      <w:pPr>
        <w:pStyle w:val="2"/>
      </w:pPr>
    </w:p>
    <w:p>
      <w:pPr>
        <w:numPr>
          <w:ilvl w:val="0"/>
          <w:numId w:val="1"/>
        </w:numPr>
        <w:spacing w:line="360" w:lineRule="auto"/>
        <w:rPr>
          <w:rFonts w:hint="eastAsia"/>
          <w:b/>
          <w:sz w:val="24"/>
          <w:szCs w:val="24"/>
          <w:lang w:eastAsia="zh-CN"/>
        </w:rPr>
      </w:pPr>
      <w:r>
        <w:rPr>
          <w:rFonts w:hint="eastAsia"/>
          <w:b/>
          <w:sz w:val="24"/>
          <w:szCs w:val="24"/>
        </w:rPr>
        <w:t>项目</w:t>
      </w:r>
      <w:r>
        <w:rPr>
          <w:rFonts w:hint="eastAsia"/>
          <w:b/>
          <w:sz w:val="24"/>
          <w:szCs w:val="24"/>
          <w:lang w:val="en-US" w:eastAsia="zh-CN"/>
        </w:rPr>
        <w:t>概况：</w:t>
      </w:r>
    </w:p>
    <w:p>
      <w:pPr>
        <w:numPr>
          <w:ilvl w:val="0"/>
          <w:numId w:val="0"/>
        </w:numPr>
        <w:spacing w:line="360" w:lineRule="auto"/>
        <w:rPr>
          <w:rFonts w:hint="eastAsia"/>
          <w:b w:val="0"/>
          <w:bCs/>
          <w:color w:val="auto"/>
          <w:sz w:val="21"/>
          <w:szCs w:val="21"/>
        </w:rPr>
      </w:pPr>
      <w:r>
        <w:rPr>
          <w:rFonts w:hint="eastAsia"/>
          <w:b w:val="0"/>
          <w:bCs/>
          <w:sz w:val="21"/>
          <w:szCs w:val="21"/>
          <w:lang w:val="en-US" w:eastAsia="zh-CN"/>
        </w:rPr>
        <w:t>项目</w:t>
      </w:r>
      <w:r>
        <w:rPr>
          <w:rFonts w:hint="eastAsia"/>
          <w:b w:val="0"/>
          <w:bCs/>
          <w:sz w:val="21"/>
          <w:szCs w:val="21"/>
        </w:rPr>
        <w:t>名称：</w:t>
      </w:r>
      <w:r>
        <w:rPr>
          <w:rFonts w:hint="eastAsia"/>
          <w:b w:val="0"/>
          <w:bCs/>
          <w:color w:val="auto"/>
          <w:sz w:val="21"/>
          <w:szCs w:val="21"/>
        </w:rPr>
        <w:t>2台飞利浦DR（DigitalDiagnost C50 65，DigitalDiagnost） 3年维保（技术保）</w:t>
      </w:r>
    </w:p>
    <w:p>
      <w:pPr>
        <w:pStyle w:val="2"/>
        <w:rPr>
          <w:rFonts w:hint="eastAsia"/>
          <w:lang w:eastAsia="zh-CN"/>
        </w:rPr>
      </w:pPr>
    </w:p>
    <w:p>
      <w:pPr>
        <w:pStyle w:val="2"/>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line="360" w:lineRule="auto"/>
        <w:textAlignment w:val="auto"/>
        <w:rPr>
          <w:rFonts w:hint="eastAsia" w:ascii="Times New Roman" w:hAnsi="Times New Roman" w:eastAsia="宋体" w:cs="Times New Roman"/>
          <w:b/>
          <w:color w:val="auto"/>
          <w:kern w:val="2"/>
          <w:sz w:val="24"/>
          <w:szCs w:val="24"/>
          <w:lang w:val="en-US" w:eastAsia="zh-CN" w:bidi="ar-SA"/>
        </w:rPr>
      </w:pPr>
      <w:r>
        <w:rPr>
          <w:rFonts w:hint="eastAsia" w:ascii="Times New Roman" w:cs="Times New Roman"/>
          <w:b/>
          <w:color w:val="auto"/>
          <w:kern w:val="2"/>
          <w:sz w:val="24"/>
          <w:szCs w:val="24"/>
          <w:lang w:val="en-US" w:eastAsia="zh-CN" w:bidi="ar-SA"/>
        </w:rPr>
        <w:t>维保设备</w:t>
      </w:r>
      <w:r>
        <w:rPr>
          <w:rFonts w:hint="eastAsia" w:ascii="Times New Roman" w:hAnsi="Times New Roman" w:eastAsia="宋体" w:cs="Times New Roman"/>
          <w:b/>
          <w:color w:val="auto"/>
          <w:kern w:val="2"/>
          <w:sz w:val="24"/>
          <w:szCs w:val="24"/>
          <w:lang w:val="en-US" w:eastAsia="zh-CN" w:bidi="ar-SA"/>
        </w:rPr>
        <w:t>：</w:t>
      </w:r>
    </w:p>
    <w:tbl>
      <w:tblPr>
        <w:tblStyle w:val="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7"/>
        <w:gridCol w:w="1591"/>
        <w:gridCol w:w="2327"/>
        <w:gridCol w:w="620"/>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62" w:type="pct"/>
            <w:vAlign w:val="center"/>
          </w:tcPr>
          <w:p>
            <w:pPr>
              <w:spacing w:line="480" w:lineRule="exact"/>
              <w:jc w:val="center"/>
              <w:rPr>
                <w:rFonts w:hint="eastAsia"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序号</w:t>
            </w:r>
          </w:p>
        </w:tc>
        <w:tc>
          <w:tcPr>
            <w:tcW w:w="934" w:type="pct"/>
            <w:vAlign w:val="center"/>
          </w:tcPr>
          <w:p>
            <w:pPr>
              <w:spacing w:line="480" w:lineRule="exact"/>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设备名称</w:t>
            </w:r>
          </w:p>
        </w:tc>
        <w:tc>
          <w:tcPr>
            <w:tcW w:w="1366" w:type="pct"/>
            <w:vAlign w:val="center"/>
          </w:tcPr>
          <w:p>
            <w:pPr>
              <w:spacing w:line="480" w:lineRule="exact"/>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设备型号</w:t>
            </w:r>
          </w:p>
        </w:tc>
        <w:tc>
          <w:tcPr>
            <w:tcW w:w="364" w:type="pct"/>
            <w:vAlign w:val="center"/>
          </w:tcPr>
          <w:p>
            <w:pPr>
              <w:spacing w:line="480" w:lineRule="exact"/>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数量</w:t>
            </w:r>
          </w:p>
        </w:tc>
        <w:tc>
          <w:tcPr>
            <w:tcW w:w="1972" w:type="pct"/>
            <w:vAlign w:val="center"/>
          </w:tcPr>
          <w:p>
            <w:pPr>
              <w:spacing w:line="480" w:lineRule="exact"/>
              <w:jc w:val="center"/>
              <w:rPr>
                <w:rFonts w:hint="default"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维保类型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362" w:type="pct"/>
            <w:vAlign w:val="center"/>
          </w:tcPr>
          <w:p>
            <w:pPr>
              <w:spacing w:line="480" w:lineRule="exact"/>
              <w:jc w:val="center"/>
              <w:rPr>
                <w:rFonts w:hint="default"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1</w:t>
            </w:r>
          </w:p>
        </w:tc>
        <w:tc>
          <w:tcPr>
            <w:tcW w:w="934"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sz w:val="21"/>
                <w:szCs w:val="21"/>
                <w:lang w:val="en-US" w:eastAsia="zh-CN"/>
              </w:rPr>
            </w:pPr>
            <w:r>
              <w:rPr>
                <w:rFonts w:hint="eastAsia" w:ascii="宋体" w:hAnsi="宋体"/>
                <w:sz w:val="21"/>
                <w:szCs w:val="21"/>
                <w:vertAlign w:val="baseline"/>
                <w:lang w:val="en-US" w:eastAsia="zh-CN"/>
              </w:rPr>
              <w:t>飞利浦DR</w:t>
            </w:r>
          </w:p>
        </w:tc>
        <w:tc>
          <w:tcPr>
            <w:tcW w:w="1366"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Digita1Diag nost C50 65</w:t>
            </w:r>
          </w:p>
        </w:tc>
        <w:tc>
          <w:tcPr>
            <w:tcW w:w="364" w:type="pct"/>
            <w:vAlign w:val="center"/>
          </w:tcPr>
          <w:p>
            <w:pPr>
              <w:spacing w:line="480" w:lineRule="exact"/>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1台</w:t>
            </w:r>
          </w:p>
        </w:tc>
        <w:tc>
          <w:tcPr>
            <w:tcW w:w="1972" w:type="pct"/>
            <w:vAlign w:val="center"/>
          </w:tcPr>
          <w:p>
            <w:pPr>
              <w:spacing w:line="480" w:lineRule="exact"/>
              <w:jc w:val="center"/>
              <w:rPr>
                <w:rFonts w:hint="eastAsia" w:asciiTheme="minorEastAsia" w:hAnsiTheme="minorEastAsia" w:eastAsiaTheme="minorEastAsia" w:cstheme="minorEastAsia"/>
                <w:b w:val="0"/>
                <w:bCs w:val="0"/>
                <w:kern w:val="0"/>
                <w:sz w:val="21"/>
                <w:szCs w:val="21"/>
                <w:lang w:val="en-US" w:eastAsia="zh-CN"/>
              </w:rPr>
            </w:pPr>
            <w:r>
              <w:rPr>
                <w:rFonts w:hint="eastAsia" w:ascii="宋体" w:hAnsi="宋体" w:eastAsia="宋体" w:cs="宋体"/>
                <w:bCs/>
                <w:szCs w:val="21"/>
                <w:lang w:val="en-US" w:eastAsia="zh-CN"/>
              </w:rPr>
              <w:t>技术</w:t>
            </w:r>
            <w:r>
              <w:rPr>
                <w:rFonts w:hint="eastAsia" w:ascii="宋体" w:hAnsi="宋体" w:eastAsia="宋体" w:cs="宋体"/>
                <w:bCs/>
                <w:szCs w:val="21"/>
              </w:rPr>
              <w:t>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62" w:type="pct"/>
            <w:vAlign w:val="center"/>
          </w:tcPr>
          <w:p>
            <w:pPr>
              <w:spacing w:line="480" w:lineRule="exact"/>
              <w:jc w:val="center"/>
              <w:rPr>
                <w:rFonts w:hint="default" w:asciiTheme="minorEastAsia" w:hAnsiTheme="minorEastAsia" w:eastAsiaTheme="minorEastAsia" w:cstheme="minorEastAsia"/>
                <w:b w:val="0"/>
                <w:bCs w:val="0"/>
                <w:kern w:val="0"/>
                <w:sz w:val="21"/>
                <w:szCs w:val="21"/>
                <w:lang w:val="en-US" w:eastAsia="zh-CN"/>
              </w:rPr>
            </w:pPr>
            <w:r>
              <w:rPr>
                <w:rFonts w:hint="eastAsia" w:asciiTheme="minorEastAsia" w:hAnsiTheme="minorEastAsia" w:eastAsiaTheme="minorEastAsia" w:cstheme="minorEastAsia"/>
                <w:b w:val="0"/>
                <w:bCs w:val="0"/>
                <w:kern w:val="0"/>
                <w:sz w:val="21"/>
                <w:szCs w:val="21"/>
                <w:lang w:val="en-US" w:eastAsia="zh-CN"/>
              </w:rPr>
              <w:t>2</w:t>
            </w:r>
          </w:p>
        </w:tc>
        <w:tc>
          <w:tcPr>
            <w:tcW w:w="934"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sz w:val="21"/>
                <w:szCs w:val="21"/>
                <w:lang w:val="en-US" w:eastAsia="zh-CN"/>
              </w:rPr>
            </w:pPr>
            <w:r>
              <w:rPr>
                <w:rFonts w:hint="eastAsia" w:ascii="宋体" w:hAnsi="宋体"/>
                <w:sz w:val="21"/>
                <w:szCs w:val="21"/>
                <w:vertAlign w:val="baseline"/>
                <w:lang w:val="en-US" w:eastAsia="zh-CN"/>
              </w:rPr>
              <w:t>三门诊飞利浦DR</w:t>
            </w:r>
          </w:p>
        </w:tc>
        <w:tc>
          <w:tcPr>
            <w:tcW w:w="1366"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vertAlign w:val="baseline"/>
                <w:lang w:val="en-US" w:eastAsia="zh-CN"/>
              </w:rPr>
              <w:t>Digita1Diag nost</w:t>
            </w:r>
          </w:p>
        </w:tc>
        <w:tc>
          <w:tcPr>
            <w:tcW w:w="364" w:type="pct"/>
            <w:vAlign w:val="center"/>
          </w:tcPr>
          <w:p>
            <w:pPr>
              <w:spacing w:line="480" w:lineRule="exact"/>
              <w:jc w:val="center"/>
              <w:rPr>
                <w:rFonts w:hint="eastAsia" w:asciiTheme="minorEastAsia" w:hAnsiTheme="minorEastAsia" w:eastAsiaTheme="minorEastAsia" w:cstheme="minorEastAsia"/>
                <w:b w:val="0"/>
                <w:bCs w:val="0"/>
                <w:kern w:val="0"/>
                <w:sz w:val="21"/>
                <w:szCs w:val="21"/>
              </w:rPr>
            </w:pPr>
            <w:r>
              <w:rPr>
                <w:rFonts w:hint="eastAsia" w:asciiTheme="minorEastAsia" w:hAnsiTheme="minorEastAsia" w:eastAsiaTheme="minorEastAsia" w:cstheme="minorEastAsia"/>
                <w:b w:val="0"/>
                <w:bCs w:val="0"/>
                <w:kern w:val="0"/>
                <w:sz w:val="21"/>
                <w:szCs w:val="21"/>
              </w:rPr>
              <w:t>1台</w:t>
            </w:r>
          </w:p>
        </w:tc>
        <w:tc>
          <w:tcPr>
            <w:tcW w:w="1972" w:type="pct"/>
            <w:vAlign w:val="center"/>
          </w:tcPr>
          <w:p>
            <w:pPr>
              <w:spacing w:line="480" w:lineRule="exact"/>
              <w:jc w:val="center"/>
              <w:rPr>
                <w:rFonts w:hint="eastAsia" w:asciiTheme="minorEastAsia" w:hAnsiTheme="minorEastAsia" w:eastAsiaTheme="minorEastAsia" w:cstheme="minorEastAsia"/>
                <w:b/>
                <w:bCs/>
                <w:kern w:val="0"/>
                <w:sz w:val="21"/>
                <w:szCs w:val="21"/>
                <w:lang w:val="en-US" w:eastAsia="zh-CN"/>
              </w:rPr>
            </w:pPr>
            <w:r>
              <w:rPr>
                <w:rFonts w:hint="eastAsia" w:ascii="宋体" w:hAnsi="宋体" w:eastAsia="宋体" w:cs="宋体"/>
                <w:bCs/>
                <w:szCs w:val="21"/>
                <w:lang w:val="en-US" w:eastAsia="zh-CN"/>
              </w:rPr>
              <w:t>技术</w:t>
            </w:r>
            <w:r>
              <w:rPr>
                <w:rFonts w:hint="eastAsia" w:ascii="宋体" w:hAnsi="宋体" w:eastAsia="宋体" w:cs="宋体"/>
                <w:bCs/>
                <w:szCs w:val="21"/>
              </w:rPr>
              <w:t>保</w:t>
            </w:r>
            <w:bookmarkStart w:id="0" w:name="_GoBack"/>
            <w:bookmarkEnd w:id="0"/>
          </w:p>
        </w:tc>
      </w:tr>
    </w:tbl>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after="157" w:afterLines="50" w:line="360" w:lineRule="auto"/>
        <w:ind w:right="0" w:rightChars="0"/>
        <w:jc w:val="both"/>
        <w:textAlignment w:val="auto"/>
        <w:outlineLvl w:val="9"/>
        <w:rPr>
          <w:rFonts w:hint="default" w:ascii="宋体" w:hAnsi="宋体" w:eastAsia="宋体" w:cs="宋体"/>
          <w:b w:val="0"/>
          <w:bCs w:val="0"/>
          <w:color w:val="auto"/>
          <w:sz w:val="21"/>
          <w:szCs w:val="21"/>
          <w:vertAlign w:val="baseline"/>
          <w:lang w:val="en-US" w:eastAsia="zh-CN"/>
        </w:rPr>
      </w:pPr>
      <w:r>
        <w:rPr>
          <w:rFonts w:hint="eastAsia" w:cs="Times New Roman"/>
          <w:b/>
          <w:color w:val="auto"/>
          <w:kern w:val="2"/>
          <w:sz w:val="24"/>
          <w:szCs w:val="24"/>
          <w:lang w:val="en-US" w:eastAsia="zh-CN" w:bidi="ar-SA"/>
        </w:rPr>
        <w:t>三</w:t>
      </w:r>
      <w:r>
        <w:rPr>
          <w:rFonts w:hint="eastAsia" w:ascii="Times New Roman" w:hAnsi="Times New Roman" w:eastAsia="宋体" w:cs="Times New Roman"/>
          <w:b/>
          <w:color w:val="auto"/>
          <w:kern w:val="2"/>
          <w:sz w:val="24"/>
          <w:szCs w:val="24"/>
          <w:lang w:val="en-US" w:eastAsia="zh-CN" w:bidi="ar-SA"/>
        </w:rPr>
        <w:t>、维保服务范围：</w:t>
      </w:r>
      <w:r>
        <w:rPr>
          <w:rFonts w:hint="eastAsia" w:ascii="宋体" w:hAnsi="宋体" w:eastAsia="宋体" w:cs="宋体"/>
          <w:b w:val="0"/>
          <w:bCs w:val="0"/>
          <w:color w:val="auto"/>
          <w:sz w:val="21"/>
          <w:szCs w:val="21"/>
          <w:vertAlign w:val="baseline"/>
          <w:lang w:val="en-US" w:eastAsia="zh-CN"/>
        </w:rPr>
        <w:t>整机含定期保养、工时、技术支持、不含配件</w:t>
      </w:r>
      <w:r>
        <w:rPr>
          <w:rFonts w:hint="eastAsia" w:ascii="宋体" w:hAnsi="宋体" w:cs="宋体"/>
          <w:b w:val="0"/>
          <w:bCs w:val="0"/>
          <w:color w:val="auto"/>
          <w:sz w:val="21"/>
          <w:szCs w:val="21"/>
          <w:vertAlign w:val="baseline"/>
          <w:lang w:val="en-US" w:eastAsia="zh-CN"/>
        </w:rPr>
        <w:t>更换</w:t>
      </w:r>
      <w:r>
        <w:rPr>
          <w:rFonts w:hint="eastAsia" w:ascii="宋体" w:hAnsi="宋体" w:eastAsia="宋体" w:cs="宋体"/>
          <w:b w:val="0"/>
          <w:bCs w:val="0"/>
          <w:color w:val="auto"/>
          <w:sz w:val="21"/>
          <w:szCs w:val="21"/>
          <w:vertAlign w:val="baseline"/>
          <w:lang w:val="en-US" w:eastAsia="zh-CN"/>
        </w:rPr>
        <w:t>；故障响应时间以及开机率保障；其他外周第三方外围附属设备系统不在保修范围内，如打片机、高压注射器、稳压电源、阅片工作站、叫号系统等</w:t>
      </w:r>
    </w:p>
    <w:p>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Times New Roman" w:hAnsi="Times New Roman" w:eastAsia="宋体" w:cs="Times New Roman"/>
          <w:b/>
          <w:color w:val="auto"/>
          <w:kern w:val="2"/>
          <w:sz w:val="24"/>
          <w:szCs w:val="24"/>
          <w:lang w:val="en-US" w:eastAsia="zh-CN" w:bidi="ar-SA"/>
        </w:rPr>
      </w:pPr>
      <w:r>
        <w:rPr>
          <w:rFonts w:hint="eastAsia" w:ascii="Times New Roman" w:hAnsi="Times New Roman" w:eastAsia="宋体" w:cs="Times New Roman"/>
          <w:b/>
          <w:color w:val="auto"/>
          <w:kern w:val="2"/>
          <w:sz w:val="24"/>
          <w:szCs w:val="24"/>
          <w:lang w:val="en-US" w:eastAsia="zh-CN" w:bidi="ar-SA"/>
        </w:rPr>
        <w:t>★</w:t>
      </w:r>
      <w:r>
        <w:rPr>
          <w:rFonts w:hint="eastAsia" w:cs="Times New Roman"/>
          <w:b/>
          <w:color w:val="auto"/>
          <w:kern w:val="2"/>
          <w:sz w:val="24"/>
          <w:szCs w:val="24"/>
          <w:lang w:val="en-US" w:eastAsia="zh-CN" w:bidi="ar-SA"/>
        </w:rPr>
        <w:t>四</w:t>
      </w:r>
      <w:r>
        <w:rPr>
          <w:rFonts w:hint="eastAsia" w:ascii="Times New Roman" w:hAnsi="Times New Roman" w:eastAsia="宋体" w:cs="Times New Roman"/>
          <w:b/>
          <w:color w:val="auto"/>
          <w:kern w:val="2"/>
          <w:sz w:val="24"/>
          <w:szCs w:val="24"/>
          <w:lang w:val="en-US" w:eastAsia="zh-CN" w:bidi="ar-SA"/>
        </w:rPr>
        <w:t>、维保服务的具体要求：</w:t>
      </w:r>
    </w:p>
    <w:p>
      <w:pPr>
        <w:spacing w:line="360" w:lineRule="auto"/>
        <w:ind w:firstLine="420" w:firstLineChars="200"/>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预防性保养：保修期内，</w:t>
      </w:r>
      <w:r>
        <w:rPr>
          <w:rFonts w:hint="eastAsia" w:ascii="宋体" w:hAnsi="宋体" w:eastAsia="宋体" w:cs="宋体"/>
          <w:lang w:val="en-US" w:eastAsia="zh-CN"/>
        </w:rPr>
        <w:t>中标</w:t>
      </w:r>
      <w:r>
        <w:rPr>
          <w:rFonts w:hint="eastAsia" w:ascii="宋体" w:hAnsi="宋体" w:eastAsia="宋体" w:cs="宋体"/>
        </w:rPr>
        <w:t>供应商</w:t>
      </w:r>
      <w:r>
        <w:rPr>
          <w:rFonts w:hint="eastAsia" w:ascii="宋体" w:hAnsi="宋体" w:cs="宋体"/>
          <w:lang w:val="en-US" w:eastAsia="zh-CN"/>
        </w:rPr>
        <w:t>应</w:t>
      </w:r>
      <w:r>
        <w:rPr>
          <w:rFonts w:hint="eastAsia" w:ascii="宋体" w:hAnsi="宋体" w:eastAsia="宋体" w:cs="宋体"/>
        </w:rPr>
        <w:t>按厂家标准及相关规范对设备实施常规保养，每年保养</w:t>
      </w:r>
      <w:r>
        <w:rPr>
          <w:rFonts w:hint="eastAsia" w:ascii="宋体" w:hAnsi="宋体" w:cs="宋体"/>
          <w:lang w:val="en-US" w:eastAsia="zh-CN"/>
        </w:rPr>
        <w:t>4</w:t>
      </w:r>
      <w:r>
        <w:rPr>
          <w:rFonts w:hint="eastAsia" w:ascii="宋体" w:hAnsi="宋体" w:eastAsia="宋体" w:cs="宋体"/>
        </w:rPr>
        <w:t>次</w:t>
      </w:r>
      <w:r>
        <w:rPr>
          <w:rFonts w:hint="eastAsia" w:ascii="宋体" w:hAnsi="宋体" w:eastAsia="宋体" w:cs="宋体"/>
          <w:lang w:eastAsia="zh-CN"/>
        </w:rPr>
        <w:t>，</w:t>
      </w:r>
      <w:r>
        <w:rPr>
          <w:rFonts w:hint="eastAsia" w:ascii="宋体" w:hAnsi="宋体" w:eastAsia="宋体" w:cs="宋体"/>
          <w:lang w:val="en-US" w:eastAsia="zh-CN"/>
        </w:rPr>
        <w:t>不限次数维修</w:t>
      </w:r>
      <w:r>
        <w:rPr>
          <w:rFonts w:hint="eastAsia" w:ascii="宋体" w:hAnsi="宋体" w:cs="宋体"/>
          <w:lang w:val="en-US" w:eastAsia="zh-CN"/>
        </w:rPr>
        <w:t>；</w:t>
      </w:r>
      <w:r>
        <w:rPr>
          <w:rFonts w:hint="eastAsia" w:ascii="宋体" w:hAnsi="宋体" w:eastAsia="宋体" w:cs="宋体"/>
        </w:rPr>
        <w:t>每次进行维保工作均应出具正规维保工作报告并由双方相关人员进行签字确认。中标供应商在预期保养时间之前一周内通知医院工作人员保养时间。</w:t>
      </w:r>
    </w:p>
    <w:p>
      <w:pPr>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定期的维护保养服务：设备的安全检查、影像质量检查、设备除尘保养、运行状态检查等，并提供定期维护保养报告。</w:t>
      </w:r>
    </w:p>
    <w:p>
      <w:pPr>
        <w:spacing w:line="360" w:lineRule="auto"/>
        <w:ind w:firstLine="420" w:firstLineChars="200"/>
        <w:rPr>
          <w:rFonts w:hint="eastAsia" w:ascii="宋体" w:hAnsi="宋体" w:eastAsia="宋体" w:cs="宋体"/>
        </w:rPr>
      </w:pP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工时：保修期内，</w:t>
      </w:r>
      <w:r>
        <w:rPr>
          <w:rFonts w:hint="eastAsia" w:ascii="宋体" w:hAnsi="宋体" w:eastAsia="宋体" w:cs="宋体"/>
          <w:lang w:val="en-US" w:eastAsia="zh-CN"/>
        </w:rPr>
        <w:t>中标</w:t>
      </w:r>
      <w:r>
        <w:rPr>
          <w:rFonts w:hint="eastAsia" w:ascii="宋体" w:hAnsi="宋体" w:eastAsia="宋体" w:cs="宋体"/>
        </w:rPr>
        <w:t>供应商免收维修机器产生的工时费、节假日加班费，派工次数不限，享受优先派工。</w:t>
      </w:r>
    </w:p>
    <w:p>
      <w:pPr>
        <w:spacing w:line="360" w:lineRule="auto"/>
        <w:ind w:firstLine="420" w:firstLineChars="200"/>
        <w:rPr>
          <w:rFonts w:hint="eastAsia" w:ascii="宋体" w:hAnsi="宋体" w:eastAsia="宋体" w:cs="宋体"/>
        </w:rPr>
      </w:pPr>
      <w:r>
        <w:rPr>
          <w:rFonts w:hint="eastAsia" w:ascii="宋体" w:hAnsi="宋体" w:eastAsia="宋体" w:cs="宋体"/>
        </w:rPr>
        <w:t>4</w:t>
      </w:r>
      <w:r>
        <w:rPr>
          <w:rFonts w:hint="eastAsia" w:ascii="宋体" w:hAnsi="宋体" w:eastAsia="宋体" w:cs="宋体"/>
          <w:lang w:eastAsia="zh-CN"/>
        </w:rPr>
        <w:t>.</w:t>
      </w:r>
      <w:r>
        <w:rPr>
          <w:rFonts w:hint="eastAsia" w:ascii="宋体" w:hAnsi="宋体" w:eastAsia="宋体" w:cs="宋体"/>
        </w:rPr>
        <w:t>技术支持：保修期内，</w:t>
      </w:r>
      <w:r>
        <w:rPr>
          <w:rFonts w:hint="eastAsia" w:ascii="宋体" w:hAnsi="宋体" w:eastAsia="宋体" w:cs="宋体"/>
          <w:lang w:val="en-US" w:eastAsia="zh-CN"/>
        </w:rPr>
        <w:t>中标</w:t>
      </w:r>
      <w:r>
        <w:rPr>
          <w:rFonts w:hint="eastAsia" w:ascii="宋体" w:hAnsi="宋体" w:eastAsia="宋体" w:cs="宋体"/>
        </w:rPr>
        <w:t>供应商工程师须7X24小时在线技术支持，节假日不休，提供全国范围内电话服务，提供微信、传真、电子邮件等联络方式，全力配合采购方开展工作。</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rPr>
        <w:t>5</w:t>
      </w:r>
      <w:r>
        <w:rPr>
          <w:rFonts w:hint="eastAsia" w:ascii="宋体" w:hAnsi="宋体" w:eastAsia="宋体" w:cs="宋体"/>
          <w:lang w:eastAsia="zh-CN"/>
        </w:rPr>
        <w:t>.</w:t>
      </w:r>
      <w:r>
        <w:rPr>
          <w:rFonts w:hint="eastAsia" w:ascii="宋体" w:hAnsi="宋体" w:eastAsia="宋体" w:cs="宋体"/>
        </w:rPr>
        <w:t>备件：</w:t>
      </w:r>
      <w:r>
        <w:rPr>
          <w:rFonts w:hint="eastAsia" w:ascii="宋体" w:hAnsi="宋体" w:eastAsia="宋体" w:cs="宋体"/>
          <w:sz w:val="21"/>
          <w:szCs w:val="21"/>
        </w:rPr>
        <w:t>保修期内，若维修过程中发现需要更换损坏的配件，中标人可提供所需配件，报价约为厂家报价的80%（球管、高压发生器、探测器除外</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具体另议</w:t>
      </w:r>
      <w:r>
        <w:rPr>
          <w:rFonts w:hint="eastAsia" w:ascii="宋体" w:hAnsi="宋体" w:eastAsia="宋体" w:cs="宋体"/>
          <w:sz w:val="21"/>
          <w:szCs w:val="21"/>
        </w:rPr>
        <w:t>），费用由采购人承担</w:t>
      </w:r>
      <w:r>
        <w:rPr>
          <w:rFonts w:hint="eastAsia" w:ascii="宋体" w:hAnsi="宋体" w:eastAsia="宋体" w:cs="宋体"/>
          <w:sz w:val="21"/>
          <w:szCs w:val="21"/>
          <w:lang w:eastAsia="zh-CN"/>
        </w:rPr>
        <w:t>。</w:t>
      </w:r>
      <w:r>
        <w:rPr>
          <w:rFonts w:hint="eastAsia" w:ascii="宋体" w:hAnsi="宋体" w:eastAsia="宋体" w:cs="宋体"/>
          <w:sz w:val="21"/>
          <w:szCs w:val="21"/>
        </w:rPr>
        <w:t>保证更换备件为原厂备件，供货渠道通畅；保证更换后机器的参数与故障前一致；保证优先运送配件；报废备件实行回收</w:t>
      </w:r>
      <w:r>
        <w:rPr>
          <w:rFonts w:hint="eastAsia" w:ascii="宋体" w:hAnsi="宋体" w:eastAsia="宋体" w:cs="宋体"/>
          <w:sz w:val="21"/>
          <w:szCs w:val="21"/>
          <w:lang w:val="en-US" w:eastAsia="zh-CN"/>
        </w:rPr>
        <w:t>；</w:t>
      </w:r>
      <w:r>
        <w:rPr>
          <w:rFonts w:hint="eastAsia" w:ascii="宋体" w:hAnsi="宋体" w:eastAsia="宋体" w:cs="宋体"/>
          <w:sz w:val="21"/>
          <w:szCs w:val="21"/>
        </w:rPr>
        <w:t>其他外周第三方设备系统不在保修范围内，如打片机、高压注射器、稳压电源、阅片工作站、叫号系统等</w:t>
      </w:r>
    </w:p>
    <w:p>
      <w:pPr>
        <w:spacing w:line="360" w:lineRule="auto"/>
        <w:ind w:firstLine="420" w:firstLineChars="200"/>
        <w:rPr>
          <w:rFonts w:hint="eastAsia" w:ascii="宋体" w:hAnsi="宋体" w:eastAsia="宋体" w:cs="宋体"/>
        </w:rPr>
      </w:pPr>
      <w:r>
        <w:rPr>
          <w:rFonts w:hint="eastAsia" w:ascii="宋体" w:hAnsi="宋体" w:eastAsia="宋体" w:cs="宋体"/>
        </w:rPr>
        <w:t>6</w:t>
      </w:r>
      <w:r>
        <w:rPr>
          <w:rFonts w:hint="eastAsia" w:ascii="宋体" w:hAnsi="宋体" w:eastAsia="宋体" w:cs="宋体"/>
          <w:lang w:eastAsia="zh-CN"/>
        </w:rPr>
        <w:t>.</w:t>
      </w:r>
      <w:r>
        <w:rPr>
          <w:rFonts w:hint="eastAsia" w:ascii="宋体" w:hAnsi="宋体" w:eastAsia="宋体" w:cs="宋体"/>
        </w:rPr>
        <w:t>服务响应时间：设备发生故障时，接到采购</w:t>
      </w:r>
      <w:r>
        <w:rPr>
          <w:rFonts w:hint="eastAsia" w:ascii="宋体" w:hAnsi="宋体" w:cs="宋体"/>
          <w:lang w:val="en-US" w:eastAsia="zh-CN"/>
        </w:rPr>
        <w:t>人</w:t>
      </w:r>
      <w:r>
        <w:rPr>
          <w:rFonts w:hint="eastAsia" w:ascii="宋体" w:hAnsi="宋体" w:eastAsia="宋体" w:cs="宋体"/>
        </w:rPr>
        <w:t>第一次故障报修，</w:t>
      </w:r>
      <w:r>
        <w:rPr>
          <w:rFonts w:hint="eastAsia" w:ascii="宋体" w:hAnsi="宋体" w:eastAsia="宋体" w:cs="宋体"/>
          <w:lang w:val="en-US" w:eastAsia="zh-CN"/>
        </w:rPr>
        <w:t>中标</w:t>
      </w:r>
      <w:r>
        <w:rPr>
          <w:rFonts w:hint="eastAsia" w:ascii="宋体" w:hAnsi="宋体" w:eastAsia="宋体" w:cs="宋体"/>
        </w:rPr>
        <w:t>供应商必须立即响应，提供电话技术支持。如电话解决不了设备故障，</w:t>
      </w:r>
      <w:r>
        <w:rPr>
          <w:rFonts w:hint="eastAsia" w:ascii="宋体" w:hAnsi="宋体" w:eastAsia="宋体" w:cs="宋体"/>
          <w:lang w:val="en-US" w:eastAsia="zh-CN"/>
        </w:rPr>
        <w:t>中标</w:t>
      </w:r>
      <w:r>
        <w:rPr>
          <w:rFonts w:hint="eastAsia" w:ascii="宋体" w:hAnsi="宋体" w:eastAsia="宋体" w:cs="宋体"/>
        </w:rPr>
        <w:t xml:space="preserve">供应商必须在 </w:t>
      </w:r>
      <w:r>
        <w:rPr>
          <w:rFonts w:hint="eastAsia" w:ascii="宋体" w:hAnsi="宋体" w:cs="宋体"/>
          <w:lang w:val="en-US" w:eastAsia="zh-CN"/>
        </w:rPr>
        <w:t>12</w:t>
      </w:r>
      <w:r>
        <w:rPr>
          <w:rFonts w:hint="eastAsia" w:ascii="宋体" w:hAnsi="宋体" w:eastAsia="宋体" w:cs="宋体"/>
        </w:rPr>
        <w:t>小时内到达设备使用现场进行维修，排除故障。</w:t>
      </w:r>
    </w:p>
    <w:p>
      <w:pPr>
        <w:spacing w:line="360" w:lineRule="auto"/>
        <w:ind w:firstLine="420" w:firstLineChars="200"/>
        <w:rPr>
          <w:rFonts w:hint="eastAsia" w:ascii="宋体" w:hAnsi="宋体" w:eastAsia="宋体" w:cs="宋体"/>
        </w:rPr>
      </w:pPr>
      <w:r>
        <w:rPr>
          <w:rFonts w:hint="eastAsia" w:ascii="宋体" w:hAnsi="宋体" w:eastAsia="宋体" w:cs="宋体"/>
        </w:rPr>
        <w:t>7</w:t>
      </w:r>
      <w:r>
        <w:rPr>
          <w:rFonts w:hint="eastAsia" w:ascii="宋体" w:hAnsi="宋体" w:eastAsia="宋体" w:cs="宋体"/>
          <w:lang w:eastAsia="zh-CN"/>
        </w:rPr>
        <w:t>.</w:t>
      </w:r>
      <w:r>
        <w:rPr>
          <w:rFonts w:hint="eastAsia" w:ascii="宋体" w:hAnsi="宋体" w:eastAsia="宋体" w:cs="宋体"/>
        </w:rPr>
        <w:t>开机率：保修期内，开机率保证≥9</w:t>
      </w:r>
      <w:r>
        <w:rPr>
          <w:rFonts w:hint="eastAsia" w:ascii="宋体" w:hAnsi="宋体" w:eastAsia="宋体" w:cs="宋体"/>
          <w:lang w:val="en-US" w:eastAsia="zh-CN"/>
        </w:rPr>
        <w:t>5</w:t>
      </w:r>
      <w:r>
        <w:rPr>
          <w:rFonts w:hint="eastAsia" w:ascii="宋体" w:hAnsi="宋体" w:eastAsia="宋体" w:cs="宋体"/>
        </w:rPr>
        <w:t>%（按一年365天计算，即每年因故障维修累计停机时间不超过1</w:t>
      </w:r>
      <w:r>
        <w:rPr>
          <w:rFonts w:hint="eastAsia" w:ascii="宋体" w:hAnsi="宋体" w:eastAsia="宋体" w:cs="宋体"/>
          <w:lang w:val="en-US" w:eastAsia="zh-CN"/>
        </w:rPr>
        <w:t>8</w:t>
      </w:r>
      <w:r>
        <w:rPr>
          <w:rFonts w:hint="eastAsia" w:ascii="宋体" w:hAnsi="宋体" w:eastAsia="宋体" w:cs="宋体"/>
        </w:rPr>
        <w:t>.5天），每年计算一次</w:t>
      </w:r>
      <w:r>
        <w:rPr>
          <w:rFonts w:hint="eastAsia" w:ascii="宋体" w:hAnsi="宋体" w:eastAsia="宋体" w:cs="宋体"/>
          <w:lang w:eastAsia="zh-CN"/>
        </w:rPr>
        <w:t>；若超出约定开机率，每超出一天，则保修期延后</w:t>
      </w:r>
      <w:r>
        <w:rPr>
          <w:rFonts w:hint="eastAsia" w:ascii="宋体" w:hAnsi="宋体" w:eastAsia="宋体" w:cs="宋体"/>
          <w:lang w:val="en-US" w:eastAsia="zh-CN"/>
        </w:rPr>
        <w:t>7天；</w:t>
      </w:r>
      <w:r>
        <w:rPr>
          <w:rFonts w:hint="eastAsia" w:ascii="宋体" w:hAnsi="宋体" w:eastAsia="宋体" w:cs="宋体"/>
        </w:rPr>
        <w:t>非保修范围内的设备系统</w:t>
      </w:r>
      <w:r>
        <w:rPr>
          <w:rFonts w:hint="eastAsia" w:ascii="宋体" w:hAnsi="宋体" w:eastAsia="宋体" w:cs="宋体"/>
          <w:lang w:eastAsia="zh-CN"/>
        </w:rPr>
        <w:t>故障</w:t>
      </w:r>
      <w:r>
        <w:rPr>
          <w:rFonts w:hint="eastAsia" w:ascii="宋体" w:hAnsi="宋体" w:eastAsia="宋体" w:cs="宋体"/>
        </w:rPr>
        <w:t>造成停</w:t>
      </w:r>
      <w:r>
        <w:rPr>
          <w:rFonts w:hint="eastAsia" w:ascii="宋体" w:hAnsi="宋体" w:eastAsia="宋体" w:cs="宋体"/>
          <w:lang w:eastAsia="zh-CN"/>
        </w:rPr>
        <w:t>机，或由于操作人员人为失误、破坏、战争、自然灾害等造成机器停机的</w:t>
      </w:r>
      <w:r>
        <w:rPr>
          <w:rFonts w:hint="eastAsia" w:ascii="宋体" w:hAnsi="宋体" w:eastAsia="宋体" w:cs="宋体"/>
        </w:rPr>
        <w:t>不计算入内。</w:t>
      </w:r>
    </w:p>
    <w:p>
      <w:pPr>
        <w:spacing w:line="360" w:lineRule="auto"/>
        <w:ind w:firstLine="420" w:firstLineChars="200"/>
        <w:rPr>
          <w:rFonts w:hint="eastAsia"/>
        </w:rPr>
      </w:pPr>
      <w:r>
        <w:rPr>
          <w:rFonts w:hint="eastAsia" w:ascii="宋体" w:hAnsi="宋体" w:eastAsia="宋体" w:cs="宋体"/>
        </w:rPr>
        <w:t>8</w:t>
      </w:r>
      <w:r>
        <w:rPr>
          <w:rFonts w:hint="eastAsia" w:ascii="宋体" w:hAnsi="宋体" w:eastAsia="宋体" w:cs="宋体"/>
          <w:lang w:eastAsia="zh-CN"/>
        </w:rPr>
        <w:t>.</w:t>
      </w:r>
      <w:r>
        <w:rPr>
          <w:rFonts w:hint="eastAsia"/>
        </w:rPr>
        <w:t>质量保证：保修期内，</w:t>
      </w:r>
      <w:r>
        <w:rPr>
          <w:rFonts w:hint="eastAsia"/>
          <w:lang w:val="en-US" w:eastAsia="zh-CN"/>
        </w:rPr>
        <w:t>中标</w:t>
      </w:r>
      <w:r>
        <w:rPr>
          <w:rFonts w:hint="eastAsia"/>
        </w:rPr>
        <w:t>供应商须保证机器的运行质量及图像质量达到厂家标准，按照厂家标准定期进行调校/校正。保修范围外的系统部件导致的质量不达标除外。</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436FF3"/>
    <w:multiLevelType w:val="singleLevel"/>
    <w:tmpl w:val="91436FF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F5536"/>
    <w:rsid w:val="5E0A6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rFonts w:ascii="宋体"/>
      <w:color w:val="0000FF"/>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2024-05-22T00:32:00Z</dcterms:created>
  <dc:creator>Administrator</dc:creator>
  <cp:lastModifiedBy>Administrator</cp:lastModifiedBy>
  <dcterms:modified xsi:type="dcterms:W3CDTF">2024-05-31T01:19:34Z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